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5c296f95fad465aa7ae4b0e90b555ac3d0794d"/>
    <w:p>
      <w:pPr>
        <w:pStyle w:val="Heading3"/>
      </w:pPr>
      <w:r>
        <w:t xml:space="preserve">Обзор типовых ситуаций конфликта интересов на государственной службе Российской Федерации и порядка их урегулирования</w:t>
      </w:r>
    </w:p>
    <w:p>
      <w:pPr>
        <w:pStyle w:val="FirstParagraph"/>
      </w:pPr>
      <w:r>
        <w:t xml:space="preserve">08.04.2015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http://uprava-kapotnya.mos.ru/anti-corruption/methodical-material/detail/1724308.html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Капотня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rava-kapotnya.mos.ru" TargetMode="External" /><Relationship Type="http://schemas.openxmlformats.org/officeDocument/2006/relationships/hyperlink" Id="rId20" Target="http://uprava-kapotnya.mos.ru/anti-corruption/methodical-material/detail/17243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rava-kapotnya.mos.ru" TargetMode="External" /><Relationship Type="http://schemas.openxmlformats.org/officeDocument/2006/relationships/hyperlink" Id="rId20" Target="http://uprava-kapotnya.mos.ru/anti-corruption/methodical-material/detail/17243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2025-04-08T00:28:41Z</dcterms:created>
  <dcterms:modified xsi:type="dcterms:W3CDTF">2025-04-08T00:28:41Z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